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275"/>
        <w:gridCol w:w="3319"/>
      </w:tblGrid>
      <w:tr w:rsidR="001E3182" w:rsidTr="00881DCF">
        <w:trPr>
          <w:trHeight w:val="2726"/>
        </w:trPr>
        <w:tc>
          <w:tcPr>
            <w:tcW w:w="3215" w:type="dxa"/>
          </w:tcPr>
          <w:p w:rsidR="001F299F" w:rsidRDefault="001F299F" w:rsidP="001F299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color w:val="2222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222200"/>
                <w:sz w:val="26"/>
                <w:szCs w:val="26"/>
              </w:rPr>
              <w:drawing>
                <wp:inline distT="0" distB="0" distL="0" distR="0" wp14:anchorId="7BA6FFF6" wp14:editId="50B66838">
                  <wp:extent cx="2070100" cy="18986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94a3e682307e559bc16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98"/>
                          <a:stretch/>
                        </pic:blipFill>
                        <pic:spPr bwMode="auto">
                          <a:xfrm>
                            <a:off x="0" y="0"/>
                            <a:ext cx="2074807" cy="1902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1F299F" w:rsidRDefault="001F299F" w:rsidP="001F299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color w:val="2222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222200"/>
                <w:sz w:val="26"/>
                <w:szCs w:val="26"/>
              </w:rPr>
              <w:drawing>
                <wp:inline distT="0" distB="0" distL="0" distR="0" wp14:anchorId="7B30D055" wp14:editId="1AB544D7">
                  <wp:extent cx="2009140" cy="1906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0aa79b564daa284fbcb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45"/>
                          <a:stretch/>
                        </pic:blipFill>
                        <pic:spPr bwMode="auto">
                          <a:xfrm>
                            <a:off x="0" y="0"/>
                            <a:ext cx="2039427" cy="1935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1F299F" w:rsidRDefault="001E3182" w:rsidP="001F299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color w:val="2222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222200"/>
                <w:sz w:val="26"/>
                <w:szCs w:val="26"/>
              </w:rPr>
              <w:drawing>
                <wp:inline distT="0" distB="0" distL="0" distR="0" wp14:anchorId="5FC5D51B" wp14:editId="438D5136">
                  <wp:extent cx="2038350" cy="190633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d5eea42f72d3173683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" t="31730"/>
                          <a:stretch/>
                        </pic:blipFill>
                        <pic:spPr bwMode="auto">
                          <a:xfrm>
                            <a:off x="0" y="0"/>
                            <a:ext cx="2066305" cy="1932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182" w:rsidRDefault="001E3182" w:rsidP="001E3182">
      <w:pPr>
        <w:ind w:firstLine="720"/>
        <w:rPr>
          <w:rFonts w:ascii="Times New Roman" w:hAnsi="Times New Roman" w:cs="Times New Roman"/>
          <w:color w:val="222200"/>
          <w:sz w:val="26"/>
          <w:szCs w:val="26"/>
        </w:rPr>
      </w:pPr>
    </w:p>
    <w:p w:rsidR="00253492" w:rsidRDefault="00253492" w:rsidP="00881DCF">
      <w:pPr>
        <w:spacing w:before="120" w:after="12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Thưa</w:t>
      </w:r>
      <w:proofErr w:type="spellEnd"/>
      <w:r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22200"/>
          <w:sz w:val="26"/>
          <w:szCs w:val="26"/>
        </w:rPr>
        <w:t>thầy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cô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các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sau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đây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em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xin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đại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diện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lớp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9D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thiệu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“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”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nữ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tác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giả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Hàn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Quố</w:t>
      </w:r>
      <w:r>
        <w:rPr>
          <w:rFonts w:ascii="Times New Roman" w:hAnsi="Times New Roman" w:cs="Times New Roman"/>
          <w:color w:val="222200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color w:val="222200"/>
          <w:sz w:val="26"/>
          <w:szCs w:val="26"/>
        </w:rPr>
        <w:t xml:space="preserve"> Kim </w:t>
      </w:r>
      <w:proofErr w:type="spellStart"/>
      <w:r>
        <w:rPr>
          <w:rFonts w:ascii="Times New Roman" w:hAnsi="Times New Roman" w:cs="Times New Roman"/>
          <w:color w:val="222200"/>
          <w:sz w:val="26"/>
          <w:szCs w:val="26"/>
        </w:rPr>
        <w:t>Suhyun</w:t>
      </w:r>
      <w:proofErr w:type="spellEnd"/>
      <w:r>
        <w:rPr>
          <w:rFonts w:ascii="Times New Roman" w:hAnsi="Times New Roman" w:cs="Times New Roman"/>
          <w:color w:val="222200"/>
          <w:sz w:val="26"/>
          <w:szCs w:val="26"/>
        </w:rPr>
        <w:t>.</w:t>
      </w:r>
    </w:p>
    <w:p w:rsidR="00253492" w:rsidRPr="00253492" w:rsidRDefault="00253492" w:rsidP="001E31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“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”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được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xuất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năm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2016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kh</w:t>
      </w:r>
      <w:r w:rsidR="00B16CB4">
        <w:rPr>
          <w:rFonts w:ascii="Times New Roman" w:hAnsi="Times New Roman" w:cs="Times New Roman"/>
          <w:color w:val="222200"/>
          <w:sz w:val="26"/>
          <w:szCs w:val="26"/>
        </w:rPr>
        <w:t>ổ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13,5 </w:t>
      </w:r>
      <w:r w:rsidR="00B16CB4">
        <w:rPr>
          <w:rFonts w:ascii="Times New Roman" w:hAnsi="Times New Roman" w:cs="Times New Roman"/>
          <w:color w:val="222200"/>
          <w:sz w:val="26"/>
          <w:szCs w:val="26"/>
        </w:rPr>
        <w:t xml:space="preserve">x </w:t>
      </w:r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19,5 cm.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Năm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2017,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tác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phẩm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đã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đạt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giải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“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năm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”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tại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Hàn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Quốc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gồm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6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232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trang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gồm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: </w:t>
      </w:r>
      <w:bookmarkStart w:id="0" w:name="_GoBack"/>
      <w:bookmarkEnd w:id="0"/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1: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trọng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2: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theo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3: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bị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nỗi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lo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bủa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vây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4: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chung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hòa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bình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5: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vì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một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thế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đẹp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6: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làm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vì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một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đẹp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ý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nghĩa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</w:p>
    <w:p w:rsidR="00253492" w:rsidRPr="00253492" w:rsidRDefault="00253492" w:rsidP="001E31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nhỏ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“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”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mang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dòng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tản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văn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vô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cùng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nhẹ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nhàng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thức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tỉnh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tích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cực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nhìn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bằng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con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mắt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dịu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dàng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nội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dung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khá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phong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phú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chỉ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cổ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vũ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tác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giả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còn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mang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đến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đọc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thông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điệp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sâu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sắc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về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cách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hoàn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thiện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duy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trì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các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mối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quan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hệ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hòa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hợp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xã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hội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đóng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góp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tích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cực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chung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tay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vì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một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thế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giới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đẹp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hơn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.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22200"/>
          <w:sz w:val="26"/>
          <w:szCs w:val="26"/>
        </w:rPr>
      </w:pPr>
      <w:r w:rsidRPr="00253492">
        <w:rPr>
          <w:rFonts w:ascii="Times New Roman" w:hAnsi="Times New Roman" w:cs="Times New Roman"/>
          <w:color w:val="222200"/>
          <w:sz w:val="26"/>
          <w:szCs w:val="26"/>
        </w:rPr>
        <w:t>“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mang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đến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ta 2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lẽ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222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22200"/>
          <w:sz w:val="26"/>
          <w:szCs w:val="26"/>
        </w:rPr>
        <w:t>:</w:t>
      </w:r>
    </w:p>
    <w:p w:rsidR="00253492" w:rsidRPr="00253492" w:rsidRDefault="00253492" w:rsidP="0025349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hAnsi="Times New Roman" w:cs="Times New Roman"/>
          <w:b/>
          <w:color w:val="2B2B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Tôn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trọng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b/>
          <w:color w:val="2B2B00"/>
          <w:sz w:val="26"/>
          <w:szCs w:val="26"/>
        </w:rPr>
        <w:t xml:space="preserve">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B2B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vốn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dĩ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đã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đầy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hối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hả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bon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chen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xô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bồ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Con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đôi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mải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mê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chạy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theo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hoài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bão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tìm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kiếm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nhận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vô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quên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phải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thật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thì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mới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được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hạnh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phúc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thực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đều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riêng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khăn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mát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rồi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qua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cơ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hội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con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đường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mới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mở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ra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điều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quan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trọng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đều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đúng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Đừng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đánh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Còn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gì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tiếc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nuối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ngay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cả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cũng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biết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thực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ai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thực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muốn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gì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lastRenderedPageBreak/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hiện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thực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gì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mong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muốn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hay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thật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hạnh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phúc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hay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? 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color w:val="2B2B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cứ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ai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phép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nọ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kia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đánh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gia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hay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xét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đấy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đôi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lúc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cũng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sai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lầm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rồi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đổi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lấy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tiếng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cùng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khinh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thường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đấy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Nhưng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suy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cùng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vẫn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do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tay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họ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nên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Họ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phán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xét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thì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nghĩa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họ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lên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lần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cũng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nghĩa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rằng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mãi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mãi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thất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chỉ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tốt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thôi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thời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gian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tự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biết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cách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an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bài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Vậy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nên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hãy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dũng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cảm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đón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nhận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điều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nhé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. 1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đoạn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trích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trong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color w:val="2B2B00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color w:val="2B2B00"/>
          <w:sz w:val="26"/>
          <w:szCs w:val="26"/>
        </w:rPr>
        <w:t>:</w:t>
      </w:r>
    </w:p>
    <w:p w:rsidR="00253492" w:rsidRPr="00253492" w:rsidRDefault="00253492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i/>
          <w:color w:val="302D00"/>
          <w:sz w:val="26"/>
          <w:szCs w:val="26"/>
        </w:rPr>
      </w:pPr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“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cố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gắng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giải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thích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họ</w:t>
      </w:r>
      <w:proofErr w:type="spellEnd"/>
      <w:r w:rsidRPr="00253492">
        <w:rPr>
          <w:rFonts w:ascii="Times New Roman" w:hAnsi="Times New Roman" w:cs="Times New Roman"/>
          <w:i/>
          <w:color w:val="302D00"/>
          <w:sz w:val="26"/>
          <w:szCs w:val="26"/>
        </w:rPr>
        <w:t>,</w:t>
      </w:r>
    </w:p>
    <w:p w:rsidR="00253492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i/>
          <w:color w:val="2729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Cũng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chẳng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nỗ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lực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chứng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minh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họ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. </w:t>
      </w:r>
    </w:p>
    <w:p w:rsidR="00253492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i/>
          <w:color w:val="2729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cần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nhận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được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thấu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hiểu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con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hẹp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hòi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đó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. </w:t>
      </w:r>
    </w:p>
    <w:p w:rsidR="004F5685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i/>
          <w:color w:val="272900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thuộc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về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i/>
          <w:color w:val="272900"/>
          <w:sz w:val="26"/>
          <w:szCs w:val="26"/>
        </w:rPr>
        <w:t>.”</w:t>
      </w:r>
    </w:p>
    <w:p w:rsidR="00253492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49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Tôn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5685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đỗi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ngột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ngạt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nhịn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tò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mò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dẫu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ngưng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1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>:</w:t>
      </w:r>
    </w:p>
    <w:p w:rsidR="004F5685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tế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chúng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ta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chẳng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biết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hay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tò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mò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chuyện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riêng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tư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bạn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ghét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riêng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tư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bạn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bị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đem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bàn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tàn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đương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bạn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tôn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trọng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riêng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tư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bạn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yêu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cầu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mọi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tôn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trọng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bạn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đương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soi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mói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xóa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bỏ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thói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quen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tò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mò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riêng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tư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tiền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đề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giữ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gìn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chính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chúng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ta.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phép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tối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thiểu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mà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mỗi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con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trao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253492">
        <w:rPr>
          <w:rFonts w:ascii="Times New Roman" w:eastAsia="Times New Roman" w:hAnsi="Times New Roman" w:cs="Times New Roman"/>
          <w:i/>
          <w:sz w:val="26"/>
          <w:szCs w:val="26"/>
        </w:rPr>
        <w:t>.”</w:t>
      </w:r>
    </w:p>
    <w:p w:rsidR="00253492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>. “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5685" w:rsidRPr="00253492" w:rsidRDefault="00B16CB4" w:rsidP="00253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349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49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253492">
        <w:rPr>
          <w:rFonts w:ascii="Times New Roman" w:hAnsi="Times New Roman" w:cs="Times New Roman"/>
          <w:sz w:val="26"/>
          <w:szCs w:val="26"/>
        </w:rPr>
        <w:t>.</w:t>
      </w:r>
    </w:p>
    <w:sectPr w:rsidR="004F5685" w:rsidRPr="00253492" w:rsidSect="00881DCF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7C1"/>
    <w:multiLevelType w:val="hybridMultilevel"/>
    <w:tmpl w:val="4744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5"/>
    <w:rsid w:val="001E3182"/>
    <w:rsid w:val="001F299F"/>
    <w:rsid w:val="00253492"/>
    <w:rsid w:val="004F5685"/>
    <w:rsid w:val="00881DCF"/>
    <w:rsid w:val="00B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296AE-AE03-45E2-A181-034F9D23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3492"/>
    <w:pPr>
      <w:ind w:left="720"/>
      <w:contextualSpacing/>
    </w:pPr>
  </w:style>
  <w:style w:type="table" w:styleId="TableGrid">
    <w:name w:val="Table Grid"/>
    <w:basedOn w:val="TableNormal"/>
    <w:uiPriority w:val="39"/>
    <w:rsid w:val="001F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Huong</cp:lastModifiedBy>
  <cp:revision>5</cp:revision>
  <dcterms:created xsi:type="dcterms:W3CDTF">2022-11-01T11:57:00Z</dcterms:created>
  <dcterms:modified xsi:type="dcterms:W3CDTF">2022-11-01T12:26:00Z</dcterms:modified>
</cp:coreProperties>
</file>